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ABCE" w14:textId="77777777" w:rsidR="007C18DA" w:rsidRDefault="007C18DA" w:rsidP="007C18DA">
      <w:pPr>
        <w:jc w:val="center"/>
      </w:pPr>
      <w:bookmarkStart w:id="0" w:name="_Hlk515370035"/>
      <w:bookmarkStart w:id="1" w:name="_Hlk525123470"/>
      <w:r w:rsidRPr="007C012D">
        <w:rPr>
          <w:noProof/>
        </w:rPr>
        <w:drawing>
          <wp:inline distT="0" distB="0" distL="0" distR="0" wp14:anchorId="1A3E1C1F" wp14:editId="5BC99D16">
            <wp:extent cx="85725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2D">
        <w:rPr>
          <w:noProof/>
        </w:rPr>
        <w:drawing>
          <wp:inline distT="0" distB="0" distL="0" distR="0" wp14:anchorId="609C4E4D" wp14:editId="6774BCBB">
            <wp:extent cx="32385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005D" w14:textId="77777777" w:rsidR="007C18DA" w:rsidRPr="00FD4895" w:rsidRDefault="007C18DA" w:rsidP="007C18DA">
      <w:pPr>
        <w:jc w:val="center"/>
      </w:pPr>
    </w:p>
    <w:bookmarkEnd w:id="0"/>
    <w:p w14:paraId="50AAB372" w14:textId="77777777" w:rsidR="007C18DA" w:rsidRPr="003E6330" w:rsidRDefault="00BF414E" w:rsidP="00BF414E">
      <w:pPr>
        <w:spacing w:before="100" w:beforeAutospacing="1"/>
        <w:rPr>
          <w:rFonts w:eastAsia="Calibri"/>
          <w:b/>
          <w:bCs/>
          <w:color w:val="17375E"/>
          <w:sz w:val="40"/>
          <w:szCs w:val="40"/>
        </w:rPr>
      </w:pPr>
      <w:r w:rsidRPr="003E6330">
        <w:rPr>
          <w:rFonts w:eastAsia="Calibri"/>
          <w:b/>
          <w:bCs/>
          <w:color w:val="17375E"/>
          <w:sz w:val="40"/>
          <w:szCs w:val="40"/>
        </w:rPr>
        <w:t>States W</w:t>
      </w:r>
      <w:r w:rsidR="007C18DA" w:rsidRPr="003E6330">
        <w:rPr>
          <w:rFonts w:eastAsia="Calibri"/>
          <w:b/>
          <w:bCs/>
          <w:color w:val="17375E"/>
          <w:sz w:val="40"/>
          <w:szCs w:val="40"/>
        </w:rPr>
        <w:t>ith Anti-Corruption Measures for Public officials (S</w:t>
      </w:r>
      <w:r w:rsidR="00792E8F" w:rsidRPr="003E6330">
        <w:rPr>
          <w:rFonts w:eastAsia="Calibri"/>
          <w:b/>
          <w:bCs/>
          <w:color w:val="17375E"/>
          <w:sz w:val="40"/>
          <w:szCs w:val="40"/>
        </w:rPr>
        <w:t>.</w:t>
      </w:r>
      <w:r w:rsidR="007C18DA" w:rsidRPr="003E6330">
        <w:rPr>
          <w:rFonts w:eastAsia="Calibri"/>
          <w:b/>
          <w:bCs/>
          <w:color w:val="17375E"/>
          <w:sz w:val="40"/>
          <w:szCs w:val="40"/>
        </w:rPr>
        <w:t>W</w:t>
      </w:r>
      <w:r w:rsidR="00792E8F" w:rsidRPr="003E6330">
        <w:rPr>
          <w:rFonts w:eastAsia="Calibri"/>
          <w:b/>
          <w:bCs/>
          <w:color w:val="17375E"/>
          <w:sz w:val="40"/>
          <w:szCs w:val="40"/>
        </w:rPr>
        <w:t>.</w:t>
      </w:r>
      <w:r w:rsidR="007C18DA" w:rsidRPr="003E6330">
        <w:rPr>
          <w:rFonts w:eastAsia="Calibri"/>
          <w:b/>
          <w:bCs/>
          <w:color w:val="17375E"/>
          <w:sz w:val="40"/>
          <w:szCs w:val="40"/>
        </w:rPr>
        <w:t>A</w:t>
      </w:r>
      <w:r w:rsidR="00792E8F" w:rsidRPr="003E6330">
        <w:rPr>
          <w:rFonts w:eastAsia="Calibri"/>
          <w:b/>
          <w:bCs/>
          <w:color w:val="17375E"/>
          <w:sz w:val="40"/>
          <w:szCs w:val="40"/>
        </w:rPr>
        <w:t>.</w:t>
      </w:r>
      <w:r w:rsidR="007C18DA" w:rsidRPr="003E6330">
        <w:rPr>
          <w:rFonts w:eastAsia="Calibri"/>
          <w:b/>
          <w:bCs/>
          <w:color w:val="17375E"/>
          <w:sz w:val="40"/>
          <w:szCs w:val="40"/>
        </w:rPr>
        <w:t>M</w:t>
      </w:r>
      <w:r w:rsidR="00792E8F" w:rsidRPr="003E6330">
        <w:rPr>
          <w:rFonts w:eastAsia="Calibri"/>
          <w:b/>
          <w:bCs/>
          <w:color w:val="17375E"/>
          <w:sz w:val="40"/>
          <w:szCs w:val="40"/>
        </w:rPr>
        <w:t>.</w:t>
      </w:r>
      <w:r w:rsidR="007C18DA" w:rsidRPr="003E6330">
        <w:rPr>
          <w:rFonts w:eastAsia="Calibri"/>
          <w:b/>
          <w:bCs/>
          <w:color w:val="17375E"/>
          <w:sz w:val="40"/>
          <w:szCs w:val="40"/>
        </w:rPr>
        <w:t>P</w:t>
      </w:r>
      <w:r w:rsidR="00792E8F" w:rsidRPr="003E6330">
        <w:rPr>
          <w:rFonts w:eastAsia="Calibri"/>
          <w:b/>
          <w:bCs/>
          <w:color w:val="17375E"/>
          <w:sz w:val="40"/>
          <w:szCs w:val="40"/>
        </w:rPr>
        <w:t>.</w:t>
      </w:r>
      <w:r w:rsidR="007C18DA" w:rsidRPr="003E6330">
        <w:rPr>
          <w:rFonts w:eastAsia="Calibri"/>
          <w:b/>
          <w:bCs/>
          <w:color w:val="17375E"/>
          <w:sz w:val="40"/>
          <w:szCs w:val="40"/>
        </w:rPr>
        <w:t xml:space="preserve">) Index: </w:t>
      </w:r>
      <w:r w:rsidR="00206031" w:rsidRPr="003E6330">
        <w:rPr>
          <w:rFonts w:eastAsia="Calibri"/>
          <w:b/>
          <w:bCs/>
          <w:color w:val="17375E"/>
          <w:sz w:val="40"/>
          <w:szCs w:val="40"/>
        </w:rPr>
        <w:t xml:space="preserve"> Note on </w:t>
      </w:r>
      <w:r w:rsidR="007C18DA" w:rsidRPr="003E6330">
        <w:rPr>
          <w:rFonts w:eastAsia="Calibri"/>
          <w:b/>
          <w:bCs/>
          <w:color w:val="17375E"/>
          <w:sz w:val="40"/>
          <w:szCs w:val="40"/>
        </w:rPr>
        <w:t xml:space="preserve">Methodology </w:t>
      </w:r>
      <w:r w:rsidR="00206031" w:rsidRPr="003E6330">
        <w:rPr>
          <w:rFonts w:eastAsia="Calibri"/>
          <w:b/>
          <w:bCs/>
          <w:color w:val="17375E"/>
          <w:sz w:val="40"/>
          <w:szCs w:val="40"/>
        </w:rPr>
        <w:t xml:space="preserve"> </w:t>
      </w:r>
    </w:p>
    <w:p w14:paraId="3FB2F714" w14:textId="77777777" w:rsidR="007C18DA" w:rsidRPr="00251891" w:rsidRDefault="00B84C00" w:rsidP="007C18DA">
      <w:pPr>
        <w:jc w:val="center"/>
        <w:rPr>
          <w:rFonts w:ascii="Abadi MT Condensed" w:hAnsi="Abadi MT Condensed" w:cs="Calibri"/>
        </w:rPr>
      </w:pPr>
      <w:r>
        <w:rPr>
          <w:rFonts w:ascii="Abadi MT Condensed" w:hAnsi="Abadi MT Condensed" w:cs="Calibri"/>
        </w:rPr>
        <w:pict w14:anchorId="04794D32">
          <v:rect id="_x0000_i1025" style="width:468pt;height:3pt" o:hralign="center" o:hrstd="t" o:hrnoshade="t" o:hr="t" fillcolor="#205867" stroked="f"/>
        </w:pict>
      </w:r>
    </w:p>
    <w:p w14:paraId="6FED8242" w14:textId="77777777" w:rsidR="004D7B1A" w:rsidRDefault="004D7B1A" w:rsidP="007C18DA">
      <w:pPr>
        <w:shd w:val="clear" w:color="auto" w:fill="FFFFFF"/>
      </w:pPr>
    </w:p>
    <w:p w14:paraId="4FBD8BDD" w14:textId="1A09401E" w:rsidR="004B4280" w:rsidRDefault="004B4280" w:rsidP="007C18DA">
      <w:pPr>
        <w:shd w:val="clear" w:color="auto" w:fill="FFFFFF"/>
      </w:pPr>
      <w:r w:rsidRPr="004B4280">
        <w:t>The</w:t>
      </w:r>
      <w:r w:rsidR="004D7B1A">
        <w:t xml:space="preserve"> Index of</w:t>
      </w:r>
      <w:r w:rsidRPr="004B4280">
        <w:t xml:space="preserve"> States With Anti-Corruption Measures for Public officials (S.W.A.M.P.) Index analyzes th</w:t>
      </w:r>
      <w:r w:rsidR="00BF414E">
        <w:t xml:space="preserve">e laws of the 50 States and </w:t>
      </w:r>
      <w:r w:rsidRPr="004B4280">
        <w:t xml:space="preserve">District of Columbia </w:t>
      </w:r>
      <w:r w:rsidR="005A632A">
        <w:t xml:space="preserve">on </w:t>
      </w:r>
      <w:r w:rsidR="00A67557">
        <w:t>eight questions re</w:t>
      </w:r>
      <w:r w:rsidR="00206031">
        <w:t>lating to</w:t>
      </w:r>
      <w:r w:rsidR="00A67557">
        <w:t xml:space="preserve"> </w:t>
      </w:r>
      <w:r w:rsidRPr="004B4280">
        <w:t xml:space="preserve">the </w:t>
      </w:r>
      <w:r w:rsidR="005D23C7">
        <w:t xml:space="preserve">jurisdiction </w:t>
      </w:r>
      <w:r w:rsidRPr="004B4280">
        <w:t>and scope of ethics agencies, the powers of those agencies, acceptance and disclosure of gifts by public officials, transparency of funding independent expenditures and client disclosure by legislators.</w:t>
      </w:r>
      <w:r>
        <w:t xml:space="preserve">  These </w:t>
      </w:r>
      <w:r w:rsidR="00A67557">
        <w:t xml:space="preserve">eight </w:t>
      </w:r>
      <w:r>
        <w:t>questions are:</w:t>
      </w:r>
    </w:p>
    <w:p w14:paraId="35AB6FB5" w14:textId="77777777" w:rsidR="004B4280" w:rsidRPr="00A269E4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>Is there an ethics agency, with the authority to conduct its own investigations, including public hearings and subpoena power?</w:t>
      </w:r>
    </w:p>
    <w:p w14:paraId="0CE9451B" w14:textId="77777777" w:rsidR="004B4280" w:rsidRPr="00A269E4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 xml:space="preserve">Does the ethics agency have the ability to sanction, including personnel actions, injunctions, and fines?  </w:t>
      </w:r>
    </w:p>
    <w:p w14:paraId="6C0CC1D2" w14:textId="77777777" w:rsidR="004B4280" w:rsidRPr="00A269E4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>Are the members of the ethics agency protected from removal without cause?</w:t>
      </w:r>
    </w:p>
    <w:p w14:paraId="40748B27" w14:textId="77777777" w:rsidR="004B4280" w:rsidRPr="00A269E4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>Are elected and appointed executive branch officials and legislators prohibited from accepting gifts from high-risk sources (lobbyists, lobbyists’ principals, government contractors) in an aggregate of $250 or more?</w:t>
      </w:r>
    </w:p>
    <w:p w14:paraId="520B265E" w14:textId="77777777" w:rsidR="004B4280" w:rsidRPr="00A269E4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>Are elected and appointed executive branch officials and legislators prohibited from accepting gifts from persons other than high-risk sources in an aggregate of $250 or more?</w:t>
      </w:r>
    </w:p>
    <w:p w14:paraId="10CBBDC4" w14:textId="77777777" w:rsidR="004B4280" w:rsidRPr="00A269E4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>Are elected and appointed executive branch officials and legislators required to publicly disclose gifts that they receive?</w:t>
      </w:r>
    </w:p>
    <w:p w14:paraId="733BC4F8" w14:textId="77777777" w:rsidR="004B4280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>Does the state require reporting of contributors to independent spenders?</w:t>
      </w:r>
    </w:p>
    <w:p w14:paraId="570043D8" w14:textId="77777777" w:rsidR="004B4280" w:rsidRPr="00A269E4" w:rsidRDefault="004B4280" w:rsidP="004B4280">
      <w:pPr>
        <w:numPr>
          <w:ilvl w:val="0"/>
          <w:numId w:val="2"/>
        </w:numPr>
        <w:shd w:val="clear" w:color="auto" w:fill="FFFFFF"/>
        <w:rPr>
          <w:rFonts w:eastAsia="Calibri"/>
          <w:i/>
          <w:color w:val="17375E"/>
        </w:rPr>
      </w:pPr>
      <w:r w:rsidRPr="00A269E4">
        <w:t>Do legislators have to disclose client names as part of their financial disclosure reports?</w:t>
      </w:r>
    </w:p>
    <w:p w14:paraId="4037A915" w14:textId="77777777" w:rsidR="004B4280" w:rsidRDefault="004B4280" w:rsidP="007C18DA">
      <w:pPr>
        <w:shd w:val="clear" w:color="auto" w:fill="FFFFFF"/>
      </w:pPr>
    </w:p>
    <w:p w14:paraId="325E6EE2" w14:textId="77777777" w:rsidR="00CC20D6" w:rsidRDefault="00CC20D6" w:rsidP="007C18DA">
      <w:pPr>
        <w:shd w:val="clear" w:color="auto" w:fill="FFFFFF"/>
        <w:rPr>
          <w:rFonts w:eastAsia="Calibri"/>
          <w:b/>
          <w:i/>
          <w:color w:val="17375E"/>
        </w:rPr>
      </w:pPr>
      <w:r>
        <w:rPr>
          <w:rFonts w:eastAsia="Calibri"/>
          <w:b/>
          <w:i/>
          <w:color w:val="17375E"/>
        </w:rPr>
        <w:t>Creating the Index</w:t>
      </w:r>
    </w:p>
    <w:p w14:paraId="6BD0AF49" w14:textId="77777777" w:rsidR="007C18DA" w:rsidRDefault="007C18DA" w:rsidP="007C18DA">
      <w:pPr>
        <w:shd w:val="clear" w:color="auto" w:fill="FFFFFF"/>
      </w:pPr>
      <w:r>
        <w:t>To create the S</w:t>
      </w:r>
      <w:r w:rsidR="00792E8F">
        <w:t>.</w:t>
      </w:r>
      <w:r>
        <w:t>W</w:t>
      </w:r>
      <w:r w:rsidR="00792E8F">
        <w:t>.</w:t>
      </w:r>
      <w:r>
        <w:t>A</w:t>
      </w:r>
      <w:r w:rsidR="00792E8F">
        <w:t>.</w:t>
      </w:r>
      <w:r>
        <w:t>M</w:t>
      </w:r>
      <w:r w:rsidR="00792E8F">
        <w:t>.</w:t>
      </w:r>
      <w:r>
        <w:t>P</w:t>
      </w:r>
      <w:r w:rsidR="00792E8F">
        <w:t>.</w:t>
      </w:r>
      <w:r>
        <w:t xml:space="preserve"> Index</w:t>
      </w:r>
      <w:r w:rsidR="005F272C">
        <w:t>,</w:t>
      </w:r>
      <w:r>
        <w:t xml:space="preserve"> </w:t>
      </w:r>
      <w:r w:rsidR="004B4280">
        <w:t xml:space="preserve">the </w:t>
      </w:r>
      <w:r>
        <w:t xml:space="preserve">Coalition for Integrity </w:t>
      </w:r>
      <w:r w:rsidR="005F272C">
        <w:t>team produced</w:t>
      </w:r>
      <w:r>
        <w:t xml:space="preserve"> detailed report</w:t>
      </w:r>
      <w:r w:rsidR="005F272C">
        <w:t>s</w:t>
      </w:r>
      <w:r>
        <w:t xml:space="preserve"> for all 50 states and the District of Columbia. </w:t>
      </w:r>
      <w:r w:rsidR="004B4280">
        <w:t>Each report</w:t>
      </w:r>
      <w:r>
        <w:t xml:space="preserve"> </w:t>
      </w:r>
      <w:r w:rsidR="004B4280">
        <w:t xml:space="preserve">contains </w:t>
      </w:r>
      <w:r>
        <w:t xml:space="preserve">answers to </w:t>
      </w:r>
      <w:r w:rsidR="004B4280">
        <w:t xml:space="preserve">the </w:t>
      </w:r>
      <w:r>
        <w:t xml:space="preserve">eight questions and </w:t>
      </w:r>
      <w:r w:rsidR="005F272C">
        <w:t xml:space="preserve">cites </w:t>
      </w:r>
      <w:r w:rsidR="004B4280">
        <w:t xml:space="preserve">and links to relevant </w:t>
      </w:r>
      <w:r>
        <w:t xml:space="preserve">statutes and </w:t>
      </w:r>
      <w:r w:rsidR="004B4280">
        <w:t>regulations</w:t>
      </w:r>
      <w:r>
        <w:t>. After finalizing the reports</w:t>
      </w:r>
      <w:r w:rsidR="005F272C">
        <w:t>,</w:t>
      </w:r>
      <w:r>
        <w:t xml:space="preserve"> Coalition for Integrity used the Scoring Rubri</w:t>
      </w:r>
      <w:r w:rsidR="004B4280">
        <w:t>c (</w:t>
      </w:r>
      <w:r w:rsidR="00CC20D6">
        <w:t>available on our website)</w:t>
      </w:r>
      <w:r>
        <w:t xml:space="preserve"> to determine what score to assign each state for each individual part of each of our eight questions.  </w:t>
      </w:r>
      <w:r w:rsidR="004B4280">
        <w:t>Each question</w:t>
      </w:r>
      <w:r>
        <w:t xml:space="preserve"> is worth 10 points</w:t>
      </w:r>
      <w:r w:rsidR="00CC20D6">
        <w:t xml:space="preserve"> for a total maximum score of 80 points</w:t>
      </w:r>
      <w:r>
        <w:t xml:space="preserve">.  </w:t>
      </w:r>
      <w:r w:rsidR="00CC20D6">
        <w:t xml:space="preserve">The score is then converted to a percentage out of 100 for ease of understanding. </w:t>
      </w:r>
    </w:p>
    <w:p w14:paraId="3FE185E5" w14:textId="77777777" w:rsidR="007C18DA" w:rsidRDefault="007C18DA" w:rsidP="007C18DA">
      <w:pPr>
        <w:shd w:val="clear" w:color="auto" w:fill="FFFFFF"/>
      </w:pPr>
    </w:p>
    <w:p w14:paraId="49DA7E21" w14:textId="77777777" w:rsidR="007C18DA" w:rsidRDefault="007C18DA" w:rsidP="007C18DA">
      <w:pPr>
        <w:shd w:val="clear" w:color="auto" w:fill="FFFFFF"/>
        <w:rPr>
          <w:rFonts w:eastAsia="Calibri"/>
          <w:b/>
          <w:i/>
          <w:color w:val="17375E"/>
        </w:rPr>
      </w:pPr>
      <w:r>
        <w:rPr>
          <w:rFonts w:eastAsia="Calibri"/>
          <w:b/>
          <w:i/>
          <w:color w:val="17375E"/>
        </w:rPr>
        <w:t>Drafting the State Reports</w:t>
      </w:r>
    </w:p>
    <w:p w14:paraId="5E258CF5" w14:textId="77777777" w:rsidR="004B4280" w:rsidRPr="004B4280" w:rsidRDefault="004B4280" w:rsidP="007C18DA">
      <w:pPr>
        <w:shd w:val="clear" w:color="auto" w:fill="FFFFFF"/>
        <w:rPr>
          <w:rFonts w:eastAsia="Calibri"/>
          <w:b/>
          <w:color w:val="17375E"/>
        </w:rPr>
      </w:pPr>
      <w:r>
        <w:t>Each</w:t>
      </w:r>
      <w:r w:rsidRPr="0099772B">
        <w:t xml:space="preserve"> state report went through </w:t>
      </w:r>
      <w:r>
        <w:t>four</w:t>
      </w:r>
      <w:r w:rsidRPr="0099772B">
        <w:t xml:space="preserve"> phases of drafting, revision and review involving </w:t>
      </w:r>
      <w:r>
        <w:t>two to three</w:t>
      </w:r>
      <w:r w:rsidRPr="0099772B">
        <w:t xml:space="preserve"> team members</w:t>
      </w:r>
      <w:r>
        <w:t>.</w:t>
      </w:r>
    </w:p>
    <w:p w14:paraId="619D6C18" w14:textId="09A8030C" w:rsidR="007C18DA" w:rsidRPr="007F4F10" w:rsidRDefault="007C18DA" w:rsidP="007C18DA">
      <w:pPr>
        <w:numPr>
          <w:ilvl w:val="0"/>
          <w:numId w:val="1"/>
        </w:numPr>
        <w:shd w:val="clear" w:color="auto" w:fill="FFFFFF"/>
        <w:rPr>
          <w:rFonts w:eastAsia="Calibri"/>
          <w:b/>
          <w:i/>
          <w:color w:val="17375E"/>
        </w:rPr>
      </w:pPr>
      <w:r w:rsidRPr="0099772B">
        <w:t>For each state report, two team members form</w:t>
      </w:r>
      <w:r w:rsidR="00206031">
        <w:t>ed</w:t>
      </w:r>
      <w:r w:rsidRPr="0099772B">
        <w:t xml:space="preserve"> a researcher-reviewer pair. The researcher made a first attempt at answering the </w:t>
      </w:r>
      <w:r>
        <w:t xml:space="preserve">eight </w:t>
      </w:r>
      <w:r w:rsidRPr="0099772B">
        <w:t>questions, then passed on</w:t>
      </w:r>
      <w:r>
        <w:t xml:space="preserve"> the draft state report to the</w:t>
      </w:r>
      <w:r w:rsidRPr="0099772B">
        <w:t xml:space="preserve"> reviewer.</w:t>
      </w:r>
    </w:p>
    <w:p w14:paraId="6F48AD6E" w14:textId="77777777" w:rsidR="007C18DA" w:rsidRPr="007F4F10" w:rsidRDefault="007C18DA" w:rsidP="007C18DA">
      <w:pPr>
        <w:numPr>
          <w:ilvl w:val="0"/>
          <w:numId w:val="1"/>
        </w:numPr>
        <w:shd w:val="clear" w:color="auto" w:fill="FFFFFF"/>
        <w:rPr>
          <w:rFonts w:eastAsia="Calibri"/>
          <w:b/>
          <w:i/>
          <w:color w:val="17375E"/>
        </w:rPr>
      </w:pPr>
      <w:r w:rsidRPr="0099772B">
        <w:t>The reviewer independently examined the s</w:t>
      </w:r>
      <w:r>
        <w:t>tatutes underlying the answers and</w:t>
      </w:r>
      <w:r w:rsidRPr="0099772B">
        <w:t xml:space="preserve"> ensured that </w:t>
      </w:r>
      <w:r>
        <w:t>all information relevant to scoring was</w:t>
      </w:r>
      <w:r w:rsidRPr="0099772B">
        <w:t xml:space="preserve"> included in the answers. The researcher and reviewer together addressed the reviewer’s comments until they fully agreed on answers to the </w:t>
      </w:r>
      <w:r w:rsidR="00206031">
        <w:t xml:space="preserve">eight </w:t>
      </w:r>
      <w:r w:rsidRPr="0099772B">
        <w:t>questions.</w:t>
      </w:r>
    </w:p>
    <w:p w14:paraId="5232578F" w14:textId="77777777" w:rsidR="007C18DA" w:rsidRPr="007F4F10" w:rsidRDefault="007C18DA" w:rsidP="007C18DA">
      <w:pPr>
        <w:numPr>
          <w:ilvl w:val="0"/>
          <w:numId w:val="1"/>
        </w:numPr>
        <w:shd w:val="clear" w:color="auto" w:fill="FFFFFF"/>
        <w:rPr>
          <w:rFonts w:eastAsia="Calibri"/>
          <w:b/>
          <w:i/>
          <w:color w:val="17375E"/>
        </w:rPr>
      </w:pPr>
      <w:r w:rsidRPr="0099772B">
        <w:lastRenderedPageBreak/>
        <w:t>Once they agreed on the substance of the answers, the reviewer and researcher each scored the state ethics regime on their own, following the scoring rubric</w:t>
      </w:r>
      <w:bookmarkStart w:id="2" w:name="_GoBack"/>
      <w:bookmarkEnd w:id="2"/>
      <w:r w:rsidRPr="0099772B">
        <w:t>, before meeting to reconcile any differences of opinion.</w:t>
      </w:r>
    </w:p>
    <w:p w14:paraId="7055F9DD" w14:textId="77777777" w:rsidR="007C18DA" w:rsidRPr="007F4F10" w:rsidRDefault="007C18DA" w:rsidP="007C18DA">
      <w:pPr>
        <w:numPr>
          <w:ilvl w:val="0"/>
          <w:numId w:val="1"/>
        </w:numPr>
        <w:shd w:val="clear" w:color="auto" w:fill="FFFFFF"/>
        <w:rPr>
          <w:rFonts w:eastAsia="Calibri"/>
          <w:b/>
          <w:i/>
          <w:color w:val="17375E"/>
        </w:rPr>
      </w:pPr>
      <w:r w:rsidRPr="0099772B">
        <w:t>In addition, we engaged additional support for a citation review</w:t>
      </w:r>
      <w:r>
        <w:t xml:space="preserve"> to confirm </w:t>
      </w:r>
      <w:r w:rsidRPr="0099772B">
        <w:t xml:space="preserve">that the </w:t>
      </w:r>
      <w:r>
        <w:t xml:space="preserve">cites in each </w:t>
      </w:r>
      <w:r w:rsidRPr="0099772B">
        <w:t xml:space="preserve">state report generally support the claims made about the state ethics regime, and that they follow </w:t>
      </w:r>
      <w:r>
        <w:t>a standard format</w:t>
      </w:r>
      <w:r w:rsidRPr="0099772B">
        <w:t>.</w:t>
      </w:r>
    </w:p>
    <w:p w14:paraId="2D5F8939" w14:textId="3CB29B4C" w:rsidR="007C18DA" w:rsidRPr="005F272C" w:rsidRDefault="007C18DA" w:rsidP="007C18DA">
      <w:pPr>
        <w:numPr>
          <w:ilvl w:val="0"/>
          <w:numId w:val="1"/>
        </w:numPr>
        <w:shd w:val="clear" w:color="auto" w:fill="FFFFFF"/>
        <w:rPr>
          <w:rFonts w:eastAsia="Calibri"/>
          <w:b/>
          <w:i/>
          <w:color w:val="17375E"/>
        </w:rPr>
      </w:pPr>
      <w:r>
        <w:t>W</w:t>
      </w:r>
      <w:r w:rsidRPr="00425578">
        <w:t xml:space="preserve">e emailed (in one case faxed) the 51 reports to the relevant agencies in each </w:t>
      </w:r>
      <w:r w:rsidR="003E6330">
        <w:t>jurisdiction</w:t>
      </w:r>
      <w:r w:rsidRPr="00425578">
        <w:t xml:space="preserve">.  Each </w:t>
      </w:r>
      <w:r w:rsidR="003E6330">
        <w:t>agency</w:t>
      </w:r>
      <w:r w:rsidRPr="00425578">
        <w:t xml:space="preserve"> was given the opportunity to comment on, but not independently approve or edit, the report for their </w:t>
      </w:r>
      <w:r w:rsidR="003E6330">
        <w:t>jurisdiction</w:t>
      </w:r>
      <w:r w:rsidRPr="00425578">
        <w:t xml:space="preserve">. We received comments back from 24 states and we incorporated the relevant comments in our </w:t>
      </w:r>
      <w:r>
        <w:t>state reports.</w:t>
      </w:r>
    </w:p>
    <w:p w14:paraId="452025F3" w14:textId="77777777" w:rsidR="005F272C" w:rsidRPr="00421E1C" w:rsidRDefault="005F272C" w:rsidP="007C18DA">
      <w:pPr>
        <w:numPr>
          <w:ilvl w:val="0"/>
          <w:numId w:val="1"/>
        </w:numPr>
        <w:shd w:val="clear" w:color="auto" w:fill="FFFFFF"/>
        <w:rPr>
          <w:rFonts w:eastAsia="Calibri"/>
          <w:b/>
          <w:i/>
          <w:color w:val="17375E"/>
        </w:rPr>
      </w:pPr>
      <w:r>
        <w:t xml:space="preserve">Finally, we undertook a fourth round of quality control and review for the reports and scores to ensure consistent treatment. </w:t>
      </w:r>
    </w:p>
    <w:bookmarkEnd w:id="1"/>
    <w:p w14:paraId="7D5CB7BC" w14:textId="77777777" w:rsidR="007C18DA" w:rsidRDefault="007C18DA" w:rsidP="007C18DA">
      <w:pPr>
        <w:rPr>
          <w:rStyle w:val="Emphasis"/>
          <w:rFonts w:eastAsia="Helvetica"/>
          <w:i w:val="0"/>
        </w:rPr>
      </w:pPr>
    </w:p>
    <w:p w14:paraId="6901AD0B" w14:textId="77777777" w:rsidR="005F272C" w:rsidRPr="00637747" w:rsidRDefault="00637747" w:rsidP="007C18DA">
      <w:pPr>
        <w:shd w:val="clear" w:color="auto" w:fill="FFFFFF"/>
        <w:rPr>
          <w:rFonts w:eastAsia="Calibri"/>
          <w:b/>
          <w:i/>
          <w:color w:val="17375E"/>
        </w:rPr>
      </w:pPr>
      <w:r>
        <w:rPr>
          <w:rFonts w:eastAsia="Calibri"/>
          <w:b/>
          <w:i/>
          <w:color w:val="17375E"/>
        </w:rPr>
        <w:t>Information Available Online</w:t>
      </w:r>
    </w:p>
    <w:p w14:paraId="005861AE" w14:textId="77777777" w:rsidR="007C18DA" w:rsidRDefault="007C18DA" w:rsidP="007C18DA">
      <w:pPr>
        <w:numPr>
          <w:ilvl w:val="0"/>
          <w:numId w:val="3"/>
        </w:numPr>
        <w:rPr>
          <w:rStyle w:val="Emphasis"/>
          <w:rFonts w:eastAsia="Helvetica"/>
          <w:i w:val="0"/>
        </w:rPr>
      </w:pPr>
      <w:r>
        <w:rPr>
          <w:rStyle w:val="Emphasis"/>
          <w:rFonts w:eastAsia="Helvetica"/>
          <w:i w:val="0"/>
        </w:rPr>
        <w:t>Our complete Scoring Rubric with detailed information on our assigned scores</w:t>
      </w:r>
    </w:p>
    <w:p w14:paraId="59A80C27" w14:textId="77777777" w:rsidR="007C18DA" w:rsidRDefault="007C18DA" w:rsidP="007C18DA">
      <w:pPr>
        <w:numPr>
          <w:ilvl w:val="0"/>
          <w:numId w:val="3"/>
        </w:numPr>
        <w:rPr>
          <w:rStyle w:val="Emphasis"/>
          <w:rFonts w:eastAsia="Helvetica"/>
          <w:i w:val="0"/>
        </w:rPr>
      </w:pPr>
      <w:r>
        <w:rPr>
          <w:rStyle w:val="Emphasis"/>
          <w:rFonts w:eastAsia="Helvetica"/>
          <w:i w:val="0"/>
        </w:rPr>
        <w:t xml:space="preserve">Our complete Index Scoring Chart with the answers to our questions and corresponding scores for each state. </w:t>
      </w:r>
    </w:p>
    <w:p w14:paraId="1EE71A00" w14:textId="63218F54" w:rsidR="007C18DA" w:rsidRPr="003877B7" w:rsidRDefault="00CE3009" w:rsidP="007C18DA">
      <w:pPr>
        <w:numPr>
          <w:ilvl w:val="0"/>
          <w:numId w:val="3"/>
        </w:numPr>
        <w:rPr>
          <w:rStyle w:val="Emphasis"/>
          <w:rFonts w:eastAsia="Helvetica"/>
          <w:i w:val="0"/>
        </w:rPr>
      </w:pPr>
      <w:r>
        <w:rPr>
          <w:rStyle w:val="Emphasis"/>
          <w:rFonts w:eastAsia="Helvetica"/>
          <w:i w:val="0"/>
        </w:rPr>
        <w:t xml:space="preserve">A </w:t>
      </w:r>
      <w:r w:rsidR="007C18DA">
        <w:rPr>
          <w:rStyle w:val="Emphasis"/>
          <w:rFonts w:eastAsia="Helvetica"/>
          <w:i w:val="0"/>
        </w:rPr>
        <w:t xml:space="preserve">detailed report for each </w:t>
      </w:r>
      <w:r>
        <w:rPr>
          <w:rStyle w:val="Emphasis"/>
          <w:rFonts w:eastAsia="Helvetica"/>
          <w:i w:val="0"/>
        </w:rPr>
        <w:t>s</w:t>
      </w:r>
      <w:r w:rsidR="007C18DA">
        <w:rPr>
          <w:rStyle w:val="Emphasis"/>
          <w:rFonts w:eastAsia="Helvetica"/>
          <w:i w:val="0"/>
        </w:rPr>
        <w:t>tate</w:t>
      </w:r>
      <w:r>
        <w:rPr>
          <w:rStyle w:val="Emphasis"/>
          <w:rFonts w:eastAsia="Helvetica"/>
          <w:i w:val="0"/>
        </w:rPr>
        <w:t xml:space="preserve"> and the District of Columbia</w:t>
      </w:r>
      <w:r w:rsidR="007C18DA">
        <w:rPr>
          <w:rStyle w:val="Emphasis"/>
          <w:rFonts w:eastAsia="Helvetica"/>
          <w:i w:val="0"/>
        </w:rPr>
        <w:t xml:space="preserve"> with links</w:t>
      </w:r>
      <w:r w:rsidR="005A632A">
        <w:rPr>
          <w:rStyle w:val="Emphasis"/>
          <w:rFonts w:eastAsia="Helvetica"/>
          <w:i w:val="0"/>
        </w:rPr>
        <w:t xml:space="preserve"> to the relevant statutes and regulations </w:t>
      </w:r>
      <w:r w:rsidR="007C18DA">
        <w:rPr>
          <w:rStyle w:val="Emphasis"/>
          <w:rFonts w:eastAsia="Helvetica"/>
          <w:i w:val="0"/>
        </w:rPr>
        <w:t xml:space="preserve">that informed its contents. </w:t>
      </w:r>
    </w:p>
    <w:p w14:paraId="22DD2E18" w14:textId="77777777" w:rsidR="00517928" w:rsidRPr="007C18DA" w:rsidRDefault="00B84C00" w:rsidP="007C18DA"/>
    <w:sectPr w:rsidR="00517928" w:rsidRPr="007C18DA" w:rsidSect="0020603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64" w:right="1008" w:bottom="576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FC0B" w14:textId="77777777" w:rsidR="007C18DA" w:rsidRDefault="007C18DA" w:rsidP="007C18DA">
      <w:r>
        <w:separator/>
      </w:r>
    </w:p>
  </w:endnote>
  <w:endnote w:type="continuationSeparator" w:id="0">
    <w:p w14:paraId="4DFAE26A" w14:textId="77777777" w:rsidR="007C18DA" w:rsidRDefault="007C18DA" w:rsidP="007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Segoe Prin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1025" w14:textId="77777777" w:rsidR="008D3A5D" w:rsidRDefault="00B84C00">
    <w:pPr>
      <w:pStyle w:val="Footer"/>
    </w:pPr>
  </w:p>
  <w:p w14:paraId="5B802FF6" w14:textId="77777777" w:rsidR="00853637" w:rsidRDefault="00B84C00">
    <w:pPr>
      <w:tabs>
        <w:tab w:val="center" w:pos="4320"/>
        <w:tab w:val="right" w:pos="8640"/>
      </w:tabs>
      <w:jc w:val="center"/>
      <w:outlineLvl w:val="0"/>
      <w:rPr>
        <w:rFonts w:eastAsia="ヒラギノ角ゴ Pro W3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51C3" w14:textId="77777777" w:rsidR="00853637" w:rsidRDefault="00B84C00">
    <w:pPr>
      <w:tabs>
        <w:tab w:val="center" w:pos="4320"/>
        <w:tab w:val="right" w:pos="8640"/>
      </w:tabs>
      <w:jc w:val="center"/>
      <w:outlineLvl w:val="0"/>
      <w:rPr>
        <w:rFonts w:eastAsia="ヒラギノ角ゴ Pro W3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3B7F" w14:textId="77777777" w:rsidR="007C18DA" w:rsidRDefault="007C18DA" w:rsidP="007C18DA">
      <w:r>
        <w:separator/>
      </w:r>
    </w:p>
  </w:footnote>
  <w:footnote w:type="continuationSeparator" w:id="0">
    <w:p w14:paraId="023C3120" w14:textId="77777777" w:rsidR="007C18DA" w:rsidRDefault="007C18DA" w:rsidP="007C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6582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36A6C8" w14:textId="77777777" w:rsidR="00206031" w:rsidRDefault="002060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91268" w14:textId="77777777" w:rsidR="00206031" w:rsidRDefault="00206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F861" w14:textId="77777777" w:rsidR="00206031" w:rsidRDefault="00206031">
    <w:pPr>
      <w:pStyle w:val="Header"/>
      <w:jc w:val="right"/>
    </w:pPr>
  </w:p>
  <w:p w14:paraId="119190E2" w14:textId="77777777" w:rsidR="00206031" w:rsidRDefault="00206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2F0"/>
    <w:multiLevelType w:val="hybridMultilevel"/>
    <w:tmpl w:val="407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6D43"/>
    <w:multiLevelType w:val="hybridMultilevel"/>
    <w:tmpl w:val="7DA6BA56"/>
    <w:lvl w:ilvl="0" w:tplc="FA24C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F18"/>
    <w:multiLevelType w:val="hybridMultilevel"/>
    <w:tmpl w:val="E9CE4C2E"/>
    <w:lvl w:ilvl="0" w:tplc="10CA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BD"/>
    <w:rsid w:val="00206031"/>
    <w:rsid w:val="003E6330"/>
    <w:rsid w:val="004B4280"/>
    <w:rsid w:val="004D7B1A"/>
    <w:rsid w:val="005A632A"/>
    <w:rsid w:val="005D23C7"/>
    <w:rsid w:val="005F272C"/>
    <w:rsid w:val="00637747"/>
    <w:rsid w:val="00703BA0"/>
    <w:rsid w:val="00792E8F"/>
    <w:rsid w:val="007C18DA"/>
    <w:rsid w:val="00A67557"/>
    <w:rsid w:val="00B059BD"/>
    <w:rsid w:val="00B84C00"/>
    <w:rsid w:val="00BF414E"/>
    <w:rsid w:val="00CC20D6"/>
    <w:rsid w:val="00CE3009"/>
    <w:rsid w:val="00E81CE4"/>
    <w:rsid w:val="00F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B72188"/>
  <w15:chartTrackingRefBased/>
  <w15:docId w15:val="{A57CB437-7078-4E4D-B826-7E3DFE9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9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05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qFormat/>
    <w:rsid w:val="00B059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 Guest</dc:creator>
  <cp:keywords/>
  <dc:description/>
  <cp:lastModifiedBy>TI Guest</cp:lastModifiedBy>
  <cp:revision>2</cp:revision>
  <cp:lastPrinted>2018-09-19T19:55:00Z</cp:lastPrinted>
  <dcterms:created xsi:type="dcterms:W3CDTF">2018-09-21T16:52:00Z</dcterms:created>
  <dcterms:modified xsi:type="dcterms:W3CDTF">2018-09-21T16:52:00Z</dcterms:modified>
</cp:coreProperties>
</file>